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530B" w14:textId="105E8DCB" w:rsidR="00F42820" w:rsidRDefault="00F42820" w:rsidP="00F6078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7FFF81" wp14:editId="16726556">
            <wp:simplePos x="0" y="0"/>
            <wp:positionH relativeFrom="column">
              <wp:posOffset>3940810</wp:posOffset>
            </wp:positionH>
            <wp:positionV relativeFrom="paragraph">
              <wp:posOffset>-410845</wp:posOffset>
            </wp:positionV>
            <wp:extent cx="2380615" cy="1134110"/>
            <wp:effectExtent l="0" t="0" r="635" b="8890"/>
            <wp:wrapNone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00C3A9" w14:textId="77777777" w:rsidR="007C2EAD" w:rsidRDefault="007C2EAD" w:rsidP="00BE07F9">
      <w:pPr>
        <w:spacing w:after="0" w:line="240" w:lineRule="auto"/>
        <w:rPr>
          <w:b/>
          <w:bCs/>
          <w:sz w:val="32"/>
          <w:szCs w:val="32"/>
        </w:rPr>
      </w:pPr>
    </w:p>
    <w:p w14:paraId="4398A885" w14:textId="77777777" w:rsidR="002C403C" w:rsidRPr="00F24D3F" w:rsidRDefault="002C403C" w:rsidP="00BE07F9">
      <w:pPr>
        <w:spacing w:after="0" w:line="240" w:lineRule="auto"/>
        <w:rPr>
          <w:rFonts w:ascii="Calibri" w:hAnsi="Calibri" w:cs="Calibri"/>
          <w:b/>
          <w:bCs/>
        </w:rPr>
      </w:pPr>
    </w:p>
    <w:p w14:paraId="442CA8AD" w14:textId="77777777" w:rsidR="00B440B9" w:rsidRDefault="00B440B9" w:rsidP="00835E1C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FDE2804" w14:textId="39A68442" w:rsidR="00B440B9" w:rsidRDefault="0025006B" w:rsidP="00835E1C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Despar </w:t>
      </w:r>
      <w:r w:rsidR="00B440B9">
        <w:rPr>
          <w:rFonts w:ascii="Calibri" w:hAnsi="Calibri" w:cs="Calibri"/>
          <w:b/>
          <w:bCs/>
          <w:sz w:val="28"/>
          <w:szCs w:val="28"/>
        </w:rPr>
        <w:t>sponsor delle Giornate FAI d’Autunno 2024</w:t>
      </w:r>
    </w:p>
    <w:p w14:paraId="1FB1621D" w14:textId="77777777" w:rsidR="00FF40FB" w:rsidRPr="002C403C" w:rsidRDefault="00FF40FB" w:rsidP="005150D2">
      <w:pPr>
        <w:spacing w:after="0" w:line="240" w:lineRule="auto"/>
        <w:rPr>
          <w:rFonts w:ascii="Calibri" w:hAnsi="Calibri" w:cs="Calibri"/>
          <w:b/>
          <w:bCs/>
        </w:rPr>
      </w:pPr>
    </w:p>
    <w:p w14:paraId="44A024D7" w14:textId="0D1AAE73" w:rsidR="00F05C2E" w:rsidRDefault="00B440B9" w:rsidP="00EC1D7B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</w:pPr>
      <w:r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Per </w:t>
      </w:r>
      <w:r w:rsidR="005150D2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il terzo anno consecutivo, l’insegna dell’Abete </w:t>
      </w:r>
      <w:r w:rsidR="005C36C7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è al fianco del </w:t>
      </w:r>
      <w:r w:rsidR="005C36C7" w:rsidRPr="005C36C7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>FAI – Fondo per l’Ambiente Italiano ETS</w:t>
      </w:r>
      <w:r w:rsidR="004812BB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 </w:t>
      </w:r>
      <w:r w:rsidR="00EC1D7B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supportando l’evento dedicato alla valorizzazione del </w:t>
      </w:r>
      <w:r w:rsidR="004812BB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 xml:space="preserve">patrimonio culturale </w:t>
      </w:r>
      <w:r w:rsidR="001B6222"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  <w:t>nazionale</w:t>
      </w:r>
    </w:p>
    <w:p w14:paraId="354306A4" w14:textId="77777777" w:rsidR="006C68EE" w:rsidRDefault="006C68EE" w:rsidP="00F05C2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bdr w:val="none" w:sz="0" w:space="0" w:color="auto" w:frame="1"/>
          <w:lang w:eastAsia="it-IT"/>
        </w:rPr>
      </w:pPr>
    </w:p>
    <w:p w14:paraId="2A26D253" w14:textId="7E7D1467" w:rsidR="00762E11" w:rsidRPr="0025006B" w:rsidRDefault="00D90D6A" w:rsidP="00603521">
      <w:pPr>
        <w:jc w:val="both"/>
        <w:rPr>
          <w:rFonts w:ascii="Calibri" w:hAnsi="Calibri" w:cs="Calibri"/>
        </w:rPr>
      </w:pPr>
      <w:r w:rsidRPr="006F7CAA">
        <w:rPr>
          <w:rFonts w:ascii="Calibri" w:hAnsi="Calibri" w:cs="Calibri"/>
          <w:i/>
          <w:iCs/>
        </w:rPr>
        <w:t xml:space="preserve">Bologna, </w:t>
      </w:r>
      <w:r w:rsidR="00520A9D">
        <w:rPr>
          <w:rFonts w:ascii="Calibri" w:hAnsi="Calibri" w:cs="Calibri"/>
          <w:i/>
          <w:iCs/>
        </w:rPr>
        <w:t>3</w:t>
      </w:r>
      <w:r w:rsidR="0025006B">
        <w:rPr>
          <w:rFonts w:ascii="Calibri" w:hAnsi="Calibri" w:cs="Calibri"/>
          <w:i/>
          <w:iCs/>
        </w:rPr>
        <w:t xml:space="preserve"> ottobre</w:t>
      </w:r>
      <w:r w:rsidR="004B7D91">
        <w:rPr>
          <w:rFonts w:ascii="Calibri" w:hAnsi="Calibri" w:cs="Calibri"/>
          <w:i/>
          <w:iCs/>
        </w:rPr>
        <w:t xml:space="preserve"> </w:t>
      </w:r>
      <w:r w:rsidR="008278F0" w:rsidRPr="006F7CAA">
        <w:rPr>
          <w:rFonts w:ascii="Calibri" w:hAnsi="Calibri" w:cs="Calibri"/>
          <w:i/>
          <w:iCs/>
        </w:rPr>
        <w:t>2024</w:t>
      </w:r>
      <w:r w:rsidR="00203693" w:rsidRPr="006F7CAA">
        <w:rPr>
          <w:rFonts w:ascii="Calibri" w:hAnsi="Calibri" w:cs="Calibri"/>
          <w:i/>
          <w:iCs/>
        </w:rPr>
        <w:t xml:space="preserve"> </w:t>
      </w:r>
      <w:r w:rsidRPr="006F7CAA">
        <w:rPr>
          <w:rFonts w:ascii="Calibri" w:hAnsi="Calibri" w:cs="Calibri"/>
        </w:rPr>
        <w:t xml:space="preserve">– </w:t>
      </w:r>
      <w:r w:rsidR="008F1277">
        <w:rPr>
          <w:rFonts w:ascii="Calibri" w:hAnsi="Calibri" w:cs="Calibri"/>
        </w:rPr>
        <w:t xml:space="preserve">Torna l’appuntamento con le </w:t>
      </w:r>
      <w:r w:rsidR="00603521" w:rsidRPr="0025006B">
        <w:rPr>
          <w:rFonts w:ascii="Calibri" w:hAnsi="Calibri" w:cs="Calibri"/>
          <w:b/>
          <w:bCs/>
        </w:rPr>
        <w:t>Giornate FAI d’Autunno</w:t>
      </w:r>
      <w:r w:rsidR="00154837">
        <w:rPr>
          <w:rFonts w:ascii="Calibri" w:hAnsi="Calibri" w:cs="Calibri"/>
          <w:b/>
          <w:bCs/>
        </w:rPr>
        <w:t xml:space="preserve"> </w:t>
      </w:r>
      <w:r w:rsidR="00603521" w:rsidRPr="0025006B">
        <w:rPr>
          <w:rFonts w:ascii="Calibri" w:hAnsi="Calibri" w:cs="Calibri"/>
        </w:rPr>
        <w:t xml:space="preserve">in programma </w:t>
      </w:r>
      <w:r w:rsidR="00603521" w:rsidRPr="0025006B">
        <w:rPr>
          <w:rFonts w:ascii="Calibri" w:hAnsi="Calibri" w:cs="Calibri"/>
          <w:b/>
          <w:bCs/>
        </w:rPr>
        <w:t>sabato 1</w:t>
      </w:r>
      <w:r w:rsidR="0071693E">
        <w:rPr>
          <w:rFonts w:ascii="Calibri" w:hAnsi="Calibri" w:cs="Calibri"/>
          <w:b/>
          <w:bCs/>
        </w:rPr>
        <w:t>2</w:t>
      </w:r>
      <w:r w:rsidR="00603521" w:rsidRPr="0025006B">
        <w:rPr>
          <w:rFonts w:ascii="Calibri" w:hAnsi="Calibri" w:cs="Calibri"/>
          <w:b/>
          <w:bCs/>
        </w:rPr>
        <w:t xml:space="preserve"> e domenica 1</w:t>
      </w:r>
      <w:r w:rsidR="0071693E">
        <w:rPr>
          <w:rFonts w:ascii="Calibri" w:hAnsi="Calibri" w:cs="Calibri"/>
          <w:b/>
          <w:bCs/>
        </w:rPr>
        <w:t>3</w:t>
      </w:r>
      <w:r w:rsidR="00603521" w:rsidRPr="0025006B">
        <w:rPr>
          <w:rFonts w:ascii="Calibri" w:hAnsi="Calibri" w:cs="Calibri"/>
          <w:b/>
          <w:bCs/>
        </w:rPr>
        <w:t xml:space="preserve"> ottobre</w:t>
      </w:r>
      <w:r w:rsidR="00603521" w:rsidRPr="0025006B">
        <w:rPr>
          <w:rFonts w:ascii="Calibri" w:hAnsi="Calibri" w:cs="Calibri"/>
        </w:rPr>
        <w:t xml:space="preserve"> </w:t>
      </w:r>
      <w:r w:rsidR="00762E11">
        <w:rPr>
          <w:rFonts w:ascii="Calibri" w:hAnsi="Calibri" w:cs="Calibri"/>
        </w:rPr>
        <w:t xml:space="preserve">e, </w:t>
      </w:r>
      <w:r w:rsidR="00730A71">
        <w:rPr>
          <w:rFonts w:ascii="Calibri" w:hAnsi="Calibri" w:cs="Calibri"/>
        </w:rPr>
        <w:t>per il terzo anno consecutivo</w:t>
      </w:r>
      <w:r w:rsidR="00762E11">
        <w:rPr>
          <w:rFonts w:ascii="Calibri" w:hAnsi="Calibri" w:cs="Calibri"/>
        </w:rPr>
        <w:t xml:space="preserve">, </w:t>
      </w:r>
      <w:r w:rsidR="00762E11" w:rsidRPr="0025006B">
        <w:rPr>
          <w:rFonts w:ascii="Calibri" w:hAnsi="Calibri" w:cs="Calibri"/>
          <w:b/>
          <w:bCs/>
        </w:rPr>
        <w:t>Despar Italia</w:t>
      </w:r>
      <w:r w:rsidR="00762E11" w:rsidRPr="0025006B">
        <w:rPr>
          <w:rFonts w:ascii="Calibri" w:hAnsi="Calibri" w:cs="Calibri"/>
        </w:rPr>
        <w:t xml:space="preserve">, la società consortile che riunisce sotto il marchio Despar sei aziende della distribuzione alimentare e negozianti affiliati, </w:t>
      </w:r>
      <w:r w:rsidR="00433E64">
        <w:rPr>
          <w:rFonts w:ascii="Calibri" w:hAnsi="Calibri" w:cs="Calibri"/>
        </w:rPr>
        <w:t xml:space="preserve">sceglie di essere al fianco di </w:t>
      </w:r>
      <w:r w:rsidR="00762E11" w:rsidRPr="0025006B">
        <w:rPr>
          <w:rFonts w:ascii="Calibri" w:hAnsi="Calibri" w:cs="Calibri"/>
          <w:b/>
          <w:bCs/>
        </w:rPr>
        <w:t>FAI – Fondo per l’Ambiente Italiano ETS</w:t>
      </w:r>
      <w:r w:rsidR="00433E64">
        <w:rPr>
          <w:rFonts w:ascii="Calibri" w:hAnsi="Calibri" w:cs="Calibri"/>
        </w:rPr>
        <w:t xml:space="preserve"> supportando </w:t>
      </w:r>
      <w:r w:rsidR="00E11FDB">
        <w:rPr>
          <w:rFonts w:ascii="Calibri" w:hAnsi="Calibri" w:cs="Calibri"/>
        </w:rPr>
        <w:t>come sponsor l</w:t>
      </w:r>
      <w:r w:rsidR="00764B08">
        <w:rPr>
          <w:rFonts w:ascii="Calibri" w:hAnsi="Calibri" w:cs="Calibri"/>
        </w:rPr>
        <w:t xml:space="preserve">’iniziativa </w:t>
      </w:r>
      <w:r w:rsidR="00E11FDB">
        <w:rPr>
          <w:rFonts w:ascii="Calibri" w:hAnsi="Calibri" w:cs="Calibri"/>
        </w:rPr>
        <w:t>dedicata al patrimonio culturale e paesaggistico italiano</w:t>
      </w:r>
      <w:r w:rsidR="00433E64">
        <w:rPr>
          <w:rFonts w:ascii="Calibri" w:hAnsi="Calibri" w:cs="Calibri"/>
        </w:rPr>
        <w:t xml:space="preserve">. </w:t>
      </w:r>
    </w:p>
    <w:p w14:paraId="238266C7" w14:textId="72739A6C" w:rsidR="004A274A" w:rsidRDefault="000A3B03" w:rsidP="000A3B03">
      <w:pPr>
        <w:jc w:val="both"/>
        <w:rPr>
          <w:rFonts w:ascii="Calibri" w:hAnsi="Calibri" w:cs="Calibri"/>
        </w:rPr>
      </w:pPr>
      <w:r w:rsidRPr="0025006B">
        <w:rPr>
          <w:rFonts w:ascii="Calibri" w:hAnsi="Calibri" w:cs="Calibri"/>
          <w:b/>
          <w:bCs/>
        </w:rPr>
        <w:t>Despar Italia promuoverà</w:t>
      </w:r>
      <w:r w:rsidRPr="0025006B">
        <w:rPr>
          <w:rFonts w:ascii="Calibri" w:hAnsi="Calibri" w:cs="Calibri"/>
        </w:rPr>
        <w:t xml:space="preserve"> le </w:t>
      </w:r>
      <w:r w:rsidRPr="0025006B">
        <w:rPr>
          <w:rFonts w:ascii="Calibri" w:hAnsi="Calibri" w:cs="Calibri"/>
          <w:b/>
          <w:bCs/>
        </w:rPr>
        <w:t>Giornate FAI d’Autunno</w:t>
      </w:r>
      <w:r w:rsidRPr="0025006B">
        <w:rPr>
          <w:rFonts w:ascii="Calibri" w:hAnsi="Calibri" w:cs="Calibri"/>
        </w:rPr>
        <w:t xml:space="preserve"> con pubblicità </w:t>
      </w:r>
      <w:r w:rsidRPr="0025006B">
        <w:rPr>
          <w:rFonts w:ascii="Calibri" w:hAnsi="Calibri" w:cs="Calibri"/>
          <w:i/>
          <w:iCs/>
        </w:rPr>
        <w:t>in store</w:t>
      </w:r>
      <w:r w:rsidRPr="0025006B">
        <w:rPr>
          <w:rFonts w:ascii="Calibri" w:hAnsi="Calibri" w:cs="Calibri"/>
        </w:rPr>
        <w:t xml:space="preserve"> e materiali informativi che saranno diffusi </w:t>
      </w:r>
      <w:r w:rsidRPr="0025006B">
        <w:rPr>
          <w:rFonts w:ascii="Calibri" w:hAnsi="Calibri" w:cs="Calibri"/>
          <w:b/>
          <w:bCs/>
        </w:rPr>
        <w:t>tramite la capillare rete vendita dell’Abete</w:t>
      </w:r>
      <w:r w:rsidRPr="0025006B">
        <w:rPr>
          <w:rFonts w:ascii="Calibri" w:hAnsi="Calibri" w:cs="Calibri"/>
        </w:rPr>
        <w:t xml:space="preserve"> composta da </w:t>
      </w:r>
      <w:r w:rsidR="00097F2F">
        <w:rPr>
          <w:rFonts w:ascii="Calibri" w:hAnsi="Calibri" w:cs="Calibri"/>
        </w:rPr>
        <w:t>oltre 1.400</w:t>
      </w:r>
      <w:r w:rsidRPr="0025006B">
        <w:rPr>
          <w:rFonts w:ascii="Calibri" w:hAnsi="Calibri" w:cs="Calibri"/>
        </w:rPr>
        <w:t xml:space="preserve"> negozi tra diretti e affiliati presenti in 17 regioni italiane. </w:t>
      </w:r>
      <w:r w:rsidR="005D240F">
        <w:rPr>
          <w:rFonts w:ascii="Calibri" w:hAnsi="Calibri" w:cs="Calibri"/>
        </w:rPr>
        <w:t>A</w:t>
      </w:r>
      <w:r w:rsidR="003A6D33">
        <w:rPr>
          <w:rFonts w:ascii="Calibri" w:hAnsi="Calibri" w:cs="Calibri"/>
        </w:rPr>
        <w:t xml:space="preserve">lcuni </w:t>
      </w:r>
      <w:r w:rsidR="00F96C28">
        <w:rPr>
          <w:rFonts w:ascii="Calibri" w:hAnsi="Calibri" w:cs="Calibri"/>
        </w:rPr>
        <w:t>B</w:t>
      </w:r>
      <w:r w:rsidR="003A6D33">
        <w:rPr>
          <w:rFonts w:ascii="Calibri" w:hAnsi="Calibri" w:cs="Calibri"/>
        </w:rPr>
        <w:t>eni FAI localizzati nelle regioni in cui l’Insegna è presente</w:t>
      </w:r>
      <w:r w:rsidR="00B943E4">
        <w:rPr>
          <w:rFonts w:ascii="Calibri" w:hAnsi="Calibri" w:cs="Calibri"/>
        </w:rPr>
        <w:t xml:space="preserve"> e</w:t>
      </w:r>
      <w:r w:rsidR="004D5412">
        <w:rPr>
          <w:rFonts w:ascii="Calibri" w:hAnsi="Calibri" w:cs="Calibri"/>
        </w:rPr>
        <w:t xml:space="preserve"> </w:t>
      </w:r>
      <w:r w:rsidR="003A6D33">
        <w:rPr>
          <w:rFonts w:ascii="Calibri" w:hAnsi="Calibri" w:cs="Calibri"/>
        </w:rPr>
        <w:t xml:space="preserve">che saranno aperti in occasione dell’evento </w:t>
      </w:r>
      <w:r w:rsidR="00203E27">
        <w:rPr>
          <w:rFonts w:ascii="Calibri" w:hAnsi="Calibri" w:cs="Calibri"/>
        </w:rPr>
        <w:t xml:space="preserve">sono i protagonisti </w:t>
      </w:r>
      <w:r w:rsidR="00203E27" w:rsidRPr="0025006B">
        <w:rPr>
          <w:rFonts w:ascii="Calibri" w:hAnsi="Calibri" w:cs="Calibri"/>
        </w:rPr>
        <w:t xml:space="preserve">della campagna promozionale delle Giornate all’interno dei negozi </w:t>
      </w:r>
      <w:r w:rsidR="00203E27">
        <w:rPr>
          <w:rFonts w:ascii="Calibri" w:hAnsi="Calibri" w:cs="Calibri"/>
        </w:rPr>
        <w:t>dell’Abete</w:t>
      </w:r>
      <w:r w:rsidR="004A274A">
        <w:rPr>
          <w:rFonts w:ascii="Calibri" w:hAnsi="Calibri" w:cs="Calibri"/>
        </w:rPr>
        <w:t xml:space="preserve"> per invitare i clienti a scoprire il patrimonio culturale e le bellezze nascoste dei loro territori. </w:t>
      </w:r>
    </w:p>
    <w:p w14:paraId="7F18B9AF" w14:textId="60CF5009" w:rsidR="003372C9" w:rsidRDefault="00D65B23" w:rsidP="003372C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Come ogni anno</w:t>
      </w:r>
      <w:r w:rsidR="00A95520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l</w:t>
      </w:r>
      <w:r w:rsidR="00C97509" w:rsidRPr="0025006B">
        <w:rPr>
          <w:rFonts w:ascii="Calibri" w:hAnsi="Calibri" w:cs="Calibri"/>
        </w:rPr>
        <w:t xml:space="preserve">’evento aprirà le porte </w:t>
      </w:r>
      <w:r w:rsidR="00A95520" w:rsidRPr="0025006B">
        <w:rPr>
          <w:rFonts w:ascii="Calibri" w:hAnsi="Calibri" w:cs="Calibri"/>
        </w:rPr>
        <w:t xml:space="preserve">con visite a contributo </w:t>
      </w:r>
      <w:r w:rsidR="00321070">
        <w:rPr>
          <w:rFonts w:ascii="Calibri" w:hAnsi="Calibri" w:cs="Calibri"/>
        </w:rPr>
        <w:t>a oltre 700</w:t>
      </w:r>
      <w:r w:rsidR="00D76422">
        <w:rPr>
          <w:rFonts w:ascii="Calibri" w:hAnsi="Calibri" w:cs="Calibri"/>
        </w:rPr>
        <w:t xml:space="preserve"> di</w:t>
      </w:r>
      <w:r w:rsidR="00C97509" w:rsidRPr="0025006B">
        <w:rPr>
          <w:rFonts w:ascii="Calibri" w:hAnsi="Calibri" w:cs="Calibri"/>
        </w:rPr>
        <w:t xml:space="preserve"> luoghi del territorio italiano </w:t>
      </w:r>
      <w:r w:rsidR="00321070">
        <w:rPr>
          <w:rFonts w:ascii="Calibri" w:hAnsi="Calibri" w:cs="Calibri"/>
        </w:rPr>
        <w:t xml:space="preserve">in 360 città, </w:t>
      </w:r>
      <w:r w:rsidR="001C3EDB" w:rsidRPr="001C3EDB">
        <w:rPr>
          <w:rFonts w:ascii="Calibri" w:hAnsi="Calibri" w:cs="Calibri"/>
        </w:rPr>
        <w:t>poco conosciuti e valorizzati oppure insoliti e curiosi, alcuni dei quali solitamente inaccessibili</w:t>
      </w:r>
      <w:r w:rsidR="00A95520">
        <w:rPr>
          <w:rFonts w:ascii="Calibri" w:hAnsi="Calibri" w:cs="Calibri"/>
        </w:rPr>
        <w:t>, dando l’occasione ai cittadini di scopri</w:t>
      </w:r>
      <w:r w:rsidR="002E5448">
        <w:rPr>
          <w:rFonts w:ascii="Calibri" w:hAnsi="Calibri" w:cs="Calibri"/>
        </w:rPr>
        <w:t>re i tesori</w:t>
      </w:r>
      <w:r w:rsidR="0017112A">
        <w:rPr>
          <w:rFonts w:ascii="Calibri" w:hAnsi="Calibri" w:cs="Calibri"/>
        </w:rPr>
        <w:t xml:space="preserve"> nascosti</w:t>
      </w:r>
      <w:r w:rsidR="002E5448">
        <w:rPr>
          <w:rFonts w:ascii="Calibri" w:hAnsi="Calibri" w:cs="Calibri"/>
        </w:rPr>
        <w:t xml:space="preserve"> di storia, arte e natura </w:t>
      </w:r>
      <w:r w:rsidR="0017112A">
        <w:rPr>
          <w:rFonts w:ascii="Calibri" w:hAnsi="Calibri" w:cs="Calibri"/>
        </w:rPr>
        <w:t xml:space="preserve">disseminati in tutta </w:t>
      </w:r>
      <w:r w:rsidR="002E5448">
        <w:rPr>
          <w:rFonts w:ascii="Calibri" w:hAnsi="Calibri" w:cs="Calibri"/>
        </w:rPr>
        <w:t>l’Italia</w:t>
      </w:r>
      <w:r w:rsidR="0017112A">
        <w:rPr>
          <w:rFonts w:ascii="Calibri" w:hAnsi="Calibri" w:cs="Calibri"/>
        </w:rPr>
        <w:t>, dalle piccole cittadine ai grandi centri</w:t>
      </w:r>
      <w:r w:rsidR="002E5448">
        <w:rPr>
          <w:rFonts w:ascii="Calibri" w:hAnsi="Calibri" w:cs="Calibri"/>
        </w:rPr>
        <w:t xml:space="preserve">. </w:t>
      </w:r>
      <w:r w:rsidR="003372C9">
        <w:rPr>
          <w:rFonts w:ascii="Calibri" w:hAnsi="Calibri" w:cs="Calibri"/>
        </w:rPr>
        <w:t xml:space="preserve">Le </w:t>
      </w:r>
      <w:r w:rsidR="003372C9" w:rsidRPr="0025006B">
        <w:rPr>
          <w:rFonts w:ascii="Calibri" w:hAnsi="Calibri" w:cs="Calibri"/>
        </w:rPr>
        <w:t xml:space="preserve">Giornate FAI d’Autunno saranno </w:t>
      </w:r>
      <w:r w:rsidR="003372C9">
        <w:rPr>
          <w:rFonts w:ascii="Calibri" w:hAnsi="Calibri" w:cs="Calibri"/>
        </w:rPr>
        <w:t>poi l’o</w:t>
      </w:r>
      <w:r w:rsidR="003372C9" w:rsidRPr="0025006B">
        <w:rPr>
          <w:rFonts w:ascii="Calibri" w:hAnsi="Calibri" w:cs="Calibri"/>
        </w:rPr>
        <w:t>ccasione per sostenere concretamente con un libero contributo la missione del FAI per la salvaguardia dei beni culturali nazionali.</w:t>
      </w:r>
    </w:p>
    <w:p w14:paraId="6E69D527" w14:textId="5C48414C" w:rsidR="00760955" w:rsidRDefault="00760955" w:rsidP="0076095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r w:rsidRPr="00A24697">
        <w:rPr>
          <w:rFonts w:ascii="Calibri" w:hAnsi="Calibri" w:cs="Calibri"/>
          <w:i/>
          <w:iCs/>
        </w:rPr>
        <w:t>Siamo orgogliosi di confermare il nostro impegno a supporto del FAI</w:t>
      </w:r>
      <w:r>
        <w:rPr>
          <w:rFonts w:ascii="Calibri" w:hAnsi="Calibri" w:cs="Calibri"/>
        </w:rPr>
        <w:t xml:space="preserve"> – ha commentato </w:t>
      </w:r>
      <w:r w:rsidRPr="0025006B">
        <w:rPr>
          <w:rFonts w:ascii="Calibri" w:hAnsi="Calibri" w:cs="Calibri"/>
          <w:b/>
          <w:bCs/>
        </w:rPr>
        <w:t>Filippo Fabbri, Direttore Generale di Despar Italia</w:t>
      </w:r>
      <w:r w:rsidRPr="0025006B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– </w:t>
      </w:r>
      <w:r w:rsidRPr="00D2535F">
        <w:rPr>
          <w:rFonts w:ascii="Calibri" w:hAnsi="Calibri" w:cs="Calibri"/>
          <w:i/>
          <w:iCs/>
        </w:rPr>
        <w:t>Anche quest’anno, in linea con i valori di vicinanza al territorio e sostegno alle comunità che sono tratti distintivi della nostra identità, abbiamo scelto di sostenere le Giornate FAI d’autunno, con l’ambizione di contribuire a riconoscere, valorizzare e promuovere il patrimonio artistico e culturale che i nostri territori esprimono. L’attenzione all’ambiente, prendersi cura del pianeta e restituire valore al</w:t>
      </w:r>
      <w:r>
        <w:rPr>
          <w:rFonts w:ascii="Calibri" w:hAnsi="Calibri" w:cs="Calibri"/>
          <w:i/>
          <w:iCs/>
        </w:rPr>
        <w:t xml:space="preserve"> territorio sono alcuni degli impegni che la nostra azienda ha assunto nel proprio Manifesto di Sostenibilità e </w:t>
      </w:r>
      <w:r w:rsidR="001E7750">
        <w:rPr>
          <w:rFonts w:ascii="Calibri" w:hAnsi="Calibri" w:cs="Calibri"/>
          <w:i/>
          <w:iCs/>
        </w:rPr>
        <w:t xml:space="preserve">che </w:t>
      </w:r>
      <w:r>
        <w:rPr>
          <w:rFonts w:ascii="Calibri" w:hAnsi="Calibri" w:cs="Calibri"/>
          <w:i/>
          <w:iCs/>
        </w:rPr>
        <w:t xml:space="preserve">si concretizzano in questa partnership con il FAI che conferma il nostro ruolo di azienda </w:t>
      </w:r>
      <w:r w:rsidR="006C075F">
        <w:rPr>
          <w:rFonts w:ascii="Calibri" w:hAnsi="Calibri" w:cs="Calibri"/>
          <w:i/>
          <w:iCs/>
        </w:rPr>
        <w:t xml:space="preserve">socialmente </w:t>
      </w:r>
      <w:r>
        <w:rPr>
          <w:rFonts w:ascii="Calibri" w:hAnsi="Calibri" w:cs="Calibri"/>
          <w:i/>
          <w:iCs/>
        </w:rPr>
        <w:t>responsabile</w:t>
      </w:r>
      <w:r w:rsidR="004840B2">
        <w:rPr>
          <w:rFonts w:ascii="Calibri" w:hAnsi="Calibri" w:cs="Calibri"/>
          <w:i/>
          <w:iCs/>
        </w:rPr>
        <w:t xml:space="preserve">, attenta a promuovere </w:t>
      </w:r>
      <w:r w:rsidR="00FC2F1E">
        <w:rPr>
          <w:rFonts w:ascii="Calibri" w:hAnsi="Calibri" w:cs="Calibri"/>
          <w:i/>
          <w:iCs/>
        </w:rPr>
        <w:t>un futuro sostenibile e inclusivo</w:t>
      </w:r>
      <w:r w:rsidR="00F72C3D">
        <w:rPr>
          <w:rFonts w:ascii="Calibri" w:hAnsi="Calibri" w:cs="Calibri"/>
          <w:i/>
          <w:iCs/>
        </w:rPr>
        <w:t>”.</w:t>
      </w:r>
    </w:p>
    <w:p w14:paraId="6D23376B" w14:textId="33305F32" w:rsidR="00760955" w:rsidRPr="0025006B" w:rsidRDefault="00760955" w:rsidP="00760955">
      <w:pPr>
        <w:jc w:val="both"/>
        <w:rPr>
          <w:rFonts w:ascii="Calibri" w:hAnsi="Calibri" w:cs="Calibri"/>
        </w:rPr>
      </w:pPr>
      <w:r w:rsidRPr="0025006B">
        <w:rPr>
          <w:rFonts w:ascii="Calibri" w:hAnsi="Calibri" w:cs="Calibri"/>
        </w:rPr>
        <w:t>Per ulteriori informazioni sui luoghi aperti in occasione delle Giornate FAI d’Autunno 202</w:t>
      </w:r>
      <w:r w:rsidR="00321070">
        <w:rPr>
          <w:rFonts w:ascii="Calibri" w:hAnsi="Calibri" w:cs="Calibri"/>
        </w:rPr>
        <w:t>4</w:t>
      </w:r>
      <w:r w:rsidRPr="0025006B">
        <w:rPr>
          <w:rFonts w:ascii="Calibri" w:hAnsi="Calibri" w:cs="Calibri"/>
        </w:rPr>
        <w:t xml:space="preserve"> e sulle modalità di partecipazione è possibile consultare il sito: </w:t>
      </w:r>
      <w:hyperlink r:id="rId6" w:history="1">
        <w:r w:rsidRPr="0025006B">
          <w:rPr>
            <w:rStyle w:val="Collegamentoipertestuale"/>
            <w:rFonts w:ascii="Calibri" w:hAnsi="Calibri" w:cs="Calibri"/>
          </w:rPr>
          <w:t>www.giornatefai.it</w:t>
        </w:r>
      </w:hyperlink>
      <w:r w:rsidRPr="0025006B">
        <w:rPr>
          <w:rFonts w:ascii="Calibri" w:hAnsi="Calibri" w:cs="Calibri"/>
        </w:rPr>
        <w:t xml:space="preserve"> </w:t>
      </w:r>
    </w:p>
    <w:p w14:paraId="6CF28854" w14:textId="77777777" w:rsidR="001347EE" w:rsidRPr="00E104DA" w:rsidRDefault="001347EE" w:rsidP="00F72C3D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A2F7235" w14:textId="77777777" w:rsidR="00E104DA" w:rsidRPr="00E104DA" w:rsidRDefault="00E104DA" w:rsidP="00E104DA">
      <w:pPr>
        <w:spacing w:after="0" w:line="240" w:lineRule="auto"/>
        <w:jc w:val="center"/>
        <w:rPr>
          <w:rFonts w:ascii="Calibri" w:hAnsi="Calibri" w:cs="Calibri"/>
        </w:rPr>
      </w:pPr>
      <w:r w:rsidRPr="00E104DA">
        <w:rPr>
          <w:rFonts w:ascii="Calibri" w:hAnsi="Calibri" w:cs="Calibri"/>
        </w:rPr>
        <w:t>***</w:t>
      </w:r>
    </w:p>
    <w:p w14:paraId="393D4667" w14:textId="77777777" w:rsidR="00E104DA" w:rsidRPr="00E104DA" w:rsidRDefault="00E104DA" w:rsidP="00E104DA">
      <w:pPr>
        <w:spacing w:after="0" w:line="240" w:lineRule="auto"/>
        <w:jc w:val="both"/>
        <w:rPr>
          <w:rFonts w:ascii="Calibri" w:hAnsi="Calibri" w:cs="Calibri"/>
        </w:rPr>
      </w:pPr>
      <w:r w:rsidRPr="00E104DA">
        <w:rPr>
          <w:rFonts w:ascii="Calibri" w:hAnsi="Calibri" w:cs="Calibri"/>
          <w:b/>
          <w:bCs/>
          <w:sz w:val="18"/>
          <w:szCs w:val="18"/>
        </w:rPr>
        <w:t>Despar Italia</w:t>
      </w:r>
    </w:p>
    <w:p w14:paraId="7EC2AD83" w14:textId="77777777" w:rsidR="00E104DA" w:rsidRPr="00E104DA" w:rsidRDefault="00E104DA" w:rsidP="00E104DA">
      <w:pPr>
        <w:spacing w:after="0" w:line="240" w:lineRule="auto"/>
        <w:jc w:val="both"/>
        <w:rPr>
          <w:rFonts w:ascii="Calibri" w:hAnsi="Calibri" w:cs="Calibri"/>
          <w:sz w:val="18"/>
          <w:szCs w:val="18"/>
          <w:shd w:val="clear" w:color="auto" w:fill="FFFFFF"/>
        </w:rPr>
      </w:pPr>
      <w:r w:rsidRPr="00E104DA">
        <w:rPr>
          <w:rFonts w:ascii="Calibri" w:hAnsi="Calibri" w:cs="Calibri"/>
          <w:sz w:val="18"/>
          <w:szCs w:val="18"/>
          <w:shd w:val="clear" w:color="auto" w:fill="FFFFFF"/>
        </w:rPr>
        <w:t xml:space="preserve">Despar Italia è la società consortile, con sede a Bologna, che riunisce sotto il marchio Despar 6 aziende della distribuzione alimentare e i loro negozianti affiliati. Despar è presente sul territorio nazionale in 17 regioni italiane con 1.424 punti vendita a insegna Despar, Eurospar e Interspar. Gli incassi 2023 pari a 4,4 miliardi di euro collocano Despar nella Top Ten delle insegne della GDO italiana. Il cuore dell’attività di Despar è la presenza di un gran numero di negozi di vicinato, affiancati da supermercati e ipermercati che offrono soluzioni per tutte le esigenze dei consumatori. Le sei aziende associate a Despar Italia sono: Despar Nord Ovest - Gruppo 3A, Despar Nord - Aspiag Service, Despar Centro Sud - Maiora, Despar Sardegna – SCS, Despar Sicilia - Ergon, Despar Messina – Fiorino. </w:t>
      </w:r>
    </w:p>
    <w:p w14:paraId="0D878177" w14:textId="77777777" w:rsidR="00E104DA" w:rsidRPr="00E104DA" w:rsidRDefault="00E104DA" w:rsidP="00E104DA">
      <w:pPr>
        <w:spacing w:after="0" w:line="240" w:lineRule="auto"/>
        <w:jc w:val="both"/>
        <w:rPr>
          <w:rStyle w:val="Collegamentoipertestuale"/>
          <w:rFonts w:ascii="Calibri" w:hAnsi="Calibri" w:cs="Calibri"/>
        </w:rPr>
      </w:pPr>
      <w:r w:rsidRPr="00E104DA">
        <w:rPr>
          <w:rFonts w:ascii="Calibri" w:hAnsi="Calibri" w:cs="Calibri"/>
          <w:sz w:val="18"/>
          <w:szCs w:val="18"/>
          <w:shd w:val="clear" w:color="auto" w:fill="FFFFFF"/>
        </w:rPr>
        <w:t xml:space="preserve">Despar Italia è parte di SPAR International presente in 48 paesi nel mondo. </w:t>
      </w:r>
      <w:hyperlink r:id="rId7" w:history="1">
        <w:r w:rsidRPr="00E104DA">
          <w:rPr>
            <w:rStyle w:val="Collegamentoipertestuale"/>
            <w:rFonts w:ascii="Calibri" w:hAnsi="Calibri" w:cs="Calibri"/>
            <w:sz w:val="18"/>
            <w:szCs w:val="18"/>
            <w:shd w:val="clear" w:color="auto" w:fill="FFFFFF"/>
          </w:rPr>
          <w:t>www.desparitalia.it</w:t>
        </w:r>
      </w:hyperlink>
    </w:p>
    <w:p w14:paraId="227E63E9" w14:textId="77777777" w:rsidR="00E104DA" w:rsidRPr="00E104DA" w:rsidRDefault="00E104DA" w:rsidP="00E104DA">
      <w:pPr>
        <w:spacing w:after="0" w:line="240" w:lineRule="auto"/>
        <w:jc w:val="both"/>
        <w:rPr>
          <w:rStyle w:val="Collegamentoipertestuale"/>
          <w:rFonts w:ascii="Calibri" w:hAnsi="Calibri" w:cs="Calibri"/>
          <w:sz w:val="18"/>
          <w:szCs w:val="18"/>
          <w:shd w:val="clear" w:color="auto" w:fill="FFFFFF"/>
        </w:rPr>
      </w:pPr>
    </w:p>
    <w:p w14:paraId="65CBA587" w14:textId="77777777" w:rsidR="00E104DA" w:rsidRPr="00E104DA" w:rsidRDefault="00E104DA" w:rsidP="00E104D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E104DA">
        <w:rPr>
          <w:rFonts w:ascii="Calibri" w:hAnsi="Calibri" w:cs="Calibri"/>
          <w:b/>
          <w:bCs/>
          <w:sz w:val="18"/>
          <w:szCs w:val="18"/>
        </w:rPr>
        <w:t xml:space="preserve">Per informazioni alla stampa: Community – Strategic Communications Advisers </w:t>
      </w:r>
    </w:p>
    <w:p w14:paraId="7C9E85D6" w14:textId="1FD62767" w:rsidR="00A76215" w:rsidRPr="00F72C3D" w:rsidRDefault="00E104DA" w:rsidP="00F72C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18"/>
          <w:szCs w:val="18"/>
        </w:rPr>
      </w:pPr>
      <w:r w:rsidRPr="00E104DA">
        <w:rPr>
          <w:rFonts w:ascii="Calibri" w:hAnsi="Calibri" w:cs="Calibri"/>
          <w:sz w:val="18"/>
          <w:szCs w:val="18"/>
        </w:rPr>
        <w:t xml:space="preserve">Giovanna Benvenuti – Tel. +39 346 9702981/ Laura Meneghetti – Tel. +39 335 8354337 – </w:t>
      </w:r>
      <w:hyperlink r:id="rId8" w:history="1">
        <w:r w:rsidRPr="00E104DA">
          <w:rPr>
            <w:rStyle w:val="Collegamentoipertestuale"/>
            <w:rFonts w:ascii="Calibri" w:hAnsi="Calibri" w:cs="Calibri"/>
            <w:sz w:val="18"/>
            <w:szCs w:val="18"/>
          </w:rPr>
          <w:t>desparitalia@community.it</w:t>
        </w:r>
      </w:hyperlink>
    </w:p>
    <w:sectPr w:rsidR="00A76215" w:rsidRPr="00F72C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C37F7"/>
    <w:multiLevelType w:val="hybridMultilevel"/>
    <w:tmpl w:val="84D2078A"/>
    <w:lvl w:ilvl="0" w:tplc="BCBA9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A6E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E21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8E1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DAB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05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2A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102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C4F18A4"/>
    <w:multiLevelType w:val="hybridMultilevel"/>
    <w:tmpl w:val="652CC01C"/>
    <w:lvl w:ilvl="0" w:tplc="CA14F172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" w15:restartNumberingAfterBreak="0">
    <w:nsid w:val="482B5705"/>
    <w:multiLevelType w:val="hybridMultilevel"/>
    <w:tmpl w:val="12E41E84"/>
    <w:lvl w:ilvl="0" w:tplc="D86405A0">
      <w:start w:val="2024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70238"/>
    <w:multiLevelType w:val="hybridMultilevel"/>
    <w:tmpl w:val="B5982DDC"/>
    <w:lvl w:ilvl="0" w:tplc="C996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C68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120A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6E4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898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A01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680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A5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101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5136219">
    <w:abstractNumId w:val="1"/>
  </w:num>
  <w:num w:numId="2" w16cid:durableId="95103850">
    <w:abstractNumId w:val="2"/>
  </w:num>
  <w:num w:numId="3" w16cid:durableId="434058735">
    <w:abstractNumId w:val="3"/>
  </w:num>
  <w:num w:numId="4" w16cid:durableId="169588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25"/>
    <w:rsid w:val="00001271"/>
    <w:rsid w:val="000034EF"/>
    <w:rsid w:val="00004ECE"/>
    <w:rsid w:val="000127D2"/>
    <w:rsid w:val="00025F72"/>
    <w:rsid w:val="0002632C"/>
    <w:rsid w:val="00030876"/>
    <w:rsid w:val="00032819"/>
    <w:rsid w:val="000339A8"/>
    <w:rsid w:val="00037212"/>
    <w:rsid w:val="00041AEE"/>
    <w:rsid w:val="00042980"/>
    <w:rsid w:val="00045470"/>
    <w:rsid w:val="00045CD7"/>
    <w:rsid w:val="00046111"/>
    <w:rsid w:val="00047BC9"/>
    <w:rsid w:val="0005359F"/>
    <w:rsid w:val="00055398"/>
    <w:rsid w:val="00055D2E"/>
    <w:rsid w:val="00061A4C"/>
    <w:rsid w:val="000721FB"/>
    <w:rsid w:val="0007309A"/>
    <w:rsid w:val="000861F8"/>
    <w:rsid w:val="000945F0"/>
    <w:rsid w:val="0009571D"/>
    <w:rsid w:val="00097F2F"/>
    <w:rsid w:val="000A3B03"/>
    <w:rsid w:val="000A687D"/>
    <w:rsid w:val="000B4F39"/>
    <w:rsid w:val="000B519D"/>
    <w:rsid w:val="000C1633"/>
    <w:rsid w:val="000C4297"/>
    <w:rsid w:val="000D04C2"/>
    <w:rsid w:val="000D3544"/>
    <w:rsid w:val="000F151E"/>
    <w:rsid w:val="000F2A2B"/>
    <w:rsid w:val="000F72EF"/>
    <w:rsid w:val="00103867"/>
    <w:rsid w:val="00103AD3"/>
    <w:rsid w:val="001122B8"/>
    <w:rsid w:val="001235A8"/>
    <w:rsid w:val="00123B63"/>
    <w:rsid w:val="00124402"/>
    <w:rsid w:val="00127A1D"/>
    <w:rsid w:val="00127FB7"/>
    <w:rsid w:val="001347EE"/>
    <w:rsid w:val="0013727D"/>
    <w:rsid w:val="00137BE6"/>
    <w:rsid w:val="0014455E"/>
    <w:rsid w:val="00147CA1"/>
    <w:rsid w:val="00154837"/>
    <w:rsid w:val="0016470F"/>
    <w:rsid w:val="00165ABA"/>
    <w:rsid w:val="0017112A"/>
    <w:rsid w:val="0017629B"/>
    <w:rsid w:val="00183728"/>
    <w:rsid w:val="00185C0C"/>
    <w:rsid w:val="00195E8F"/>
    <w:rsid w:val="00196E99"/>
    <w:rsid w:val="001A1925"/>
    <w:rsid w:val="001A6C00"/>
    <w:rsid w:val="001B59B9"/>
    <w:rsid w:val="001B6222"/>
    <w:rsid w:val="001B69DD"/>
    <w:rsid w:val="001C3ACD"/>
    <w:rsid w:val="001C3EDB"/>
    <w:rsid w:val="001C59C1"/>
    <w:rsid w:val="001C7D3D"/>
    <w:rsid w:val="001D06E0"/>
    <w:rsid w:val="001D1C0A"/>
    <w:rsid w:val="001D20D8"/>
    <w:rsid w:val="001D57FB"/>
    <w:rsid w:val="001E0037"/>
    <w:rsid w:val="001E1E9D"/>
    <w:rsid w:val="001E49C5"/>
    <w:rsid w:val="001E7750"/>
    <w:rsid w:val="001F625E"/>
    <w:rsid w:val="00203693"/>
    <w:rsid w:val="00203E27"/>
    <w:rsid w:val="00215DDE"/>
    <w:rsid w:val="00221877"/>
    <w:rsid w:val="00223F54"/>
    <w:rsid w:val="00224E46"/>
    <w:rsid w:val="002254BE"/>
    <w:rsid w:val="002273D3"/>
    <w:rsid w:val="002335BF"/>
    <w:rsid w:val="00237A41"/>
    <w:rsid w:val="0025006B"/>
    <w:rsid w:val="0026101C"/>
    <w:rsid w:val="00273CE9"/>
    <w:rsid w:val="0027468B"/>
    <w:rsid w:val="00275F25"/>
    <w:rsid w:val="00291F26"/>
    <w:rsid w:val="002930A2"/>
    <w:rsid w:val="002A38BF"/>
    <w:rsid w:val="002B4DF8"/>
    <w:rsid w:val="002B7581"/>
    <w:rsid w:val="002C0527"/>
    <w:rsid w:val="002C403C"/>
    <w:rsid w:val="002C77DF"/>
    <w:rsid w:val="002D003B"/>
    <w:rsid w:val="002D2C39"/>
    <w:rsid w:val="002D5E20"/>
    <w:rsid w:val="002E064E"/>
    <w:rsid w:val="002E5448"/>
    <w:rsid w:val="002F0556"/>
    <w:rsid w:val="002F0C6A"/>
    <w:rsid w:val="002F171C"/>
    <w:rsid w:val="00301152"/>
    <w:rsid w:val="00301204"/>
    <w:rsid w:val="00303192"/>
    <w:rsid w:val="003052FE"/>
    <w:rsid w:val="003118AA"/>
    <w:rsid w:val="00314E06"/>
    <w:rsid w:val="0031788D"/>
    <w:rsid w:val="00321070"/>
    <w:rsid w:val="00325024"/>
    <w:rsid w:val="00327776"/>
    <w:rsid w:val="00327DDA"/>
    <w:rsid w:val="003310C1"/>
    <w:rsid w:val="003372C9"/>
    <w:rsid w:val="003441AF"/>
    <w:rsid w:val="00345EDE"/>
    <w:rsid w:val="0035299A"/>
    <w:rsid w:val="003531D3"/>
    <w:rsid w:val="00360BBA"/>
    <w:rsid w:val="003738D8"/>
    <w:rsid w:val="0038150E"/>
    <w:rsid w:val="003824DB"/>
    <w:rsid w:val="003874E7"/>
    <w:rsid w:val="0038794F"/>
    <w:rsid w:val="003A6D33"/>
    <w:rsid w:val="003A78D3"/>
    <w:rsid w:val="003B3216"/>
    <w:rsid w:val="003B41E0"/>
    <w:rsid w:val="003B54FC"/>
    <w:rsid w:val="003D47D7"/>
    <w:rsid w:val="003E14A2"/>
    <w:rsid w:val="003F6F05"/>
    <w:rsid w:val="00400BDC"/>
    <w:rsid w:val="00401772"/>
    <w:rsid w:val="00402753"/>
    <w:rsid w:val="00404B71"/>
    <w:rsid w:val="00416BB4"/>
    <w:rsid w:val="00416F5C"/>
    <w:rsid w:val="00425896"/>
    <w:rsid w:val="00426C0F"/>
    <w:rsid w:val="004276EA"/>
    <w:rsid w:val="00427D70"/>
    <w:rsid w:val="00433E64"/>
    <w:rsid w:val="00434594"/>
    <w:rsid w:val="00446E49"/>
    <w:rsid w:val="00447138"/>
    <w:rsid w:val="004565C6"/>
    <w:rsid w:val="00456EC7"/>
    <w:rsid w:val="0045758E"/>
    <w:rsid w:val="00461A47"/>
    <w:rsid w:val="00463D84"/>
    <w:rsid w:val="00467B93"/>
    <w:rsid w:val="00470FC9"/>
    <w:rsid w:val="00474D0D"/>
    <w:rsid w:val="00480B33"/>
    <w:rsid w:val="004812BB"/>
    <w:rsid w:val="004840B2"/>
    <w:rsid w:val="004923DA"/>
    <w:rsid w:val="0049754D"/>
    <w:rsid w:val="004A274A"/>
    <w:rsid w:val="004A4AC6"/>
    <w:rsid w:val="004A760B"/>
    <w:rsid w:val="004A7F4C"/>
    <w:rsid w:val="004B107D"/>
    <w:rsid w:val="004B2009"/>
    <w:rsid w:val="004B7D91"/>
    <w:rsid w:val="004C0226"/>
    <w:rsid w:val="004C2EB5"/>
    <w:rsid w:val="004D03DF"/>
    <w:rsid w:val="004D2A4F"/>
    <w:rsid w:val="004D2F15"/>
    <w:rsid w:val="004D4D91"/>
    <w:rsid w:val="004D5412"/>
    <w:rsid w:val="004D61C9"/>
    <w:rsid w:val="004E1683"/>
    <w:rsid w:val="004E393F"/>
    <w:rsid w:val="004E5C24"/>
    <w:rsid w:val="004E753B"/>
    <w:rsid w:val="004F2C0A"/>
    <w:rsid w:val="004F70E5"/>
    <w:rsid w:val="00513AD3"/>
    <w:rsid w:val="005150D2"/>
    <w:rsid w:val="0051776A"/>
    <w:rsid w:val="00520A9D"/>
    <w:rsid w:val="005256C8"/>
    <w:rsid w:val="00525AA8"/>
    <w:rsid w:val="00525C9C"/>
    <w:rsid w:val="00526FF9"/>
    <w:rsid w:val="00535793"/>
    <w:rsid w:val="00535E56"/>
    <w:rsid w:val="0053695C"/>
    <w:rsid w:val="005426A0"/>
    <w:rsid w:val="005510C1"/>
    <w:rsid w:val="0055388C"/>
    <w:rsid w:val="005541F5"/>
    <w:rsid w:val="005608C2"/>
    <w:rsid w:val="00566047"/>
    <w:rsid w:val="0057121F"/>
    <w:rsid w:val="00572928"/>
    <w:rsid w:val="00580E0F"/>
    <w:rsid w:val="0058789D"/>
    <w:rsid w:val="005A0145"/>
    <w:rsid w:val="005A2A74"/>
    <w:rsid w:val="005B4809"/>
    <w:rsid w:val="005B611C"/>
    <w:rsid w:val="005B6F52"/>
    <w:rsid w:val="005C1BB7"/>
    <w:rsid w:val="005C1E2C"/>
    <w:rsid w:val="005C36C7"/>
    <w:rsid w:val="005C6233"/>
    <w:rsid w:val="005C694E"/>
    <w:rsid w:val="005D240F"/>
    <w:rsid w:val="005D297D"/>
    <w:rsid w:val="005D2A2A"/>
    <w:rsid w:val="005D497F"/>
    <w:rsid w:val="005D7122"/>
    <w:rsid w:val="005F18A2"/>
    <w:rsid w:val="005F58D7"/>
    <w:rsid w:val="005F5C28"/>
    <w:rsid w:val="00600726"/>
    <w:rsid w:val="00603521"/>
    <w:rsid w:val="00603556"/>
    <w:rsid w:val="006058FF"/>
    <w:rsid w:val="00610BDA"/>
    <w:rsid w:val="00616F3C"/>
    <w:rsid w:val="00624A7A"/>
    <w:rsid w:val="00624E9A"/>
    <w:rsid w:val="00626365"/>
    <w:rsid w:val="00627C97"/>
    <w:rsid w:val="00631FA9"/>
    <w:rsid w:val="0063280B"/>
    <w:rsid w:val="00634D7D"/>
    <w:rsid w:val="00640F87"/>
    <w:rsid w:val="0065193C"/>
    <w:rsid w:val="00651BA0"/>
    <w:rsid w:val="00651BA8"/>
    <w:rsid w:val="006525E8"/>
    <w:rsid w:val="00661E38"/>
    <w:rsid w:val="00662FA5"/>
    <w:rsid w:val="0066613D"/>
    <w:rsid w:val="0066642C"/>
    <w:rsid w:val="00667643"/>
    <w:rsid w:val="006769FD"/>
    <w:rsid w:val="00676C62"/>
    <w:rsid w:val="00692C05"/>
    <w:rsid w:val="00694DEC"/>
    <w:rsid w:val="006953C5"/>
    <w:rsid w:val="006961ED"/>
    <w:rsid w:val="006B1ABA"/>
    <w:rsid w:val="006B47F6"/>
    <w:rsid w:val="006C075F"/>
    <w:rsid w:val="006C355E"/>
    <w:rsid w:val="006C5E5B"/>
    <w:rsid w:val="006C5FF6"/>
    <w:rsid w:val="006C68EE"/>
    <w:rsid w:val="006D4202"/>
    <w:rsid w:val="006E0A9D"/>
    <w:rsid w:val="006E583E"/>
    <w:rsid w:val="006F0C0C"/>
    <w:rsid w:val="006F10C9"/>
    <w:rsid w:val="006F2148"/>
    <w:rsid w:val="006F3C59"/>
    <w:rsid w:val="006F648D"/>
    <w:rsid w:val="006F7CAA"/>
    <w:rsid w:val="00701736"/>
    <w:rsid w:val="007018F0"/>
    <w:rsid w:val="00704B18"/>
    <w:rsid w:val="00706ACD"/>
    <w:rsid w:val="00710BE5"/>
    <w:rsid w:val="0071693E"/>
    <w:rsid w:val="0072300F"/>
    <w:rsid w:val="00723985"/>
    <w:rsid w:val="00723C5C"/>
    <w:rsid w:val="00730A71"/>
    <w:rsid w:val="0073374A"/>
    <w:rsid w:val="00735465"/>
    <w:rsid w:val="00736A75"/>
    <w:rsid w:val="0073709E"/>
    <w:rsid w:val="007424D6"/>
    <w:rsid w:val="007426D7"/>
    <w:rsid w:val="00744C32"/>
    <w:rsid w:val="007478DA"/>
    <w:rsid w:val="00747B00"/>
    <w:rsid w:val="00751A5F"/>
    <w:rsid w:val="00755A07"/>
    <w:rsid w:val="007568E4"/>
    <w:rsid w:val="00760955"/>
    <w:rsid w:val="0076166E"/>
    <w:rsid w:val="00762E11"/>
    <w:rsid w:val="00764B08"/>
    <w:rsid w:val="00765DCA"/>
    <w:rsid w:val="00772143"/>
    <w:rsid w:val="007758E5"/>
    <w:rsid w:val="0077620A"/>
    <w:rsid w:val="00776A5A"/>
    <w:rsid w:val="00777239"/>
    <w:rsid w:val="007864B5"/>
    <w:rsid w:val="00793E62"/>
    <w:rsid w:val="007A005B"/>
    <w:rsid w:val="007A1167"/>
    <w:rsid w:val="007A296C"/>
    <w:rsid w:val="007A48BE"/>
    <w:rsid w:val="007A6EA5"/>
    <w:rsid w:val="007A7AA8"/>
    <w:rsid w:val="007C1C57"/>
    <w:rsid w:val="007C21AF"/>
    <w:rsid w:val="007C2EAD"/>
    <w:rsid w:val="007C3CE8"/>
    <w:rsid w:val="007D2025"/>
    <w:rsid w:val="007E5B0C"/>
    <w:rsid w:val="007E7EE7"/>
    <w:rsid w:val="007F2318"/>
    <w:rsid w:val="007F26BC"/>
    <w:rsid w:val="007F308D"/>
    <w:rsid w:val="007F5C32"/>
    <w:rsid w:val="007F7C7F"/>
    <w:rsid w:val="008037BE"/>
    <w:rsid w:val="008054B1"/>
    <w:rsid w:val="0080728A"/>
    <w:rsid w:val="00810E58"/>
    <w:rsid w:val="008121EB"/>
    <w:rsid w:val="008123E4"/>
    <w:rsid w:val="00813D29"/>
    <w:rsid w:val="0081438E"/>
    <w:rsid w:val="0082481C"/>
    <w:rsid w:val="008278F0"/>
    <w:rsid w:val="00833CD1"/>
    <w:rsid w:val="00835E1C"/>
    <w:rsid w:val="008403E7"/>
    <w:rsid w:val="00841C42"/>
    <w:rsid w:val="00850A08"/>
    <w:rsid w:val="008549C2"/>
    <w:rsid w:val="008576AF"/>
    <w:rsid w:val="00862066"/>
    <w:rsid w:val="00867151"/>
    <w:rsid w:val="00870063"/>
    <w:rsid w:val="00871ECA"/>
    <w:rsid w:val="00873200"/>
    <w:rsid w:val="0087480F"/>
    <w:rsid w:val="00874F02"/>
    <w:rsid w:val="0087529E"/>
    <w:rsid w:val="0088019F"/>
    <w:rsid w:val="008853B6"/>
    <w:rsid w:val="0089044E"/>
    <w:rsid w:val="00893EEF"/>
    <w:rsid w:val="008A57FA"/>
    <w:rsid w:val="008A6749"/>
    <w:rsid w:val="008B17BA"/>
    <w:rsid w:val="008B265F"/>
    <w:rsid w:val="008B26CE"/>
    <w:rsid w:val="008B5C2A"/>
    <w:rsid w:val="008B63E7"/>
    <w:rsid w:val="008C016B"/>
    <w:rsid w:val="008D4277"/>
    <w:rsid w:val="008D505E"/>
    <w:rsid w:val="008D68D2"/>
    <w:rsid w:val="008E03DF"/>
    <w:rsid w:val="008E540B"/>
    <w:rsid w:val="008E58F5"/>
    <w:rsid w:val="008E6587"/>
    <w:rsid w:val="008E70AD"/>
    <w:rsid w:val="008F0C3B"/>
    <w:rsid w:val="008F1277"/>
    <w:rsid w:val="008F454E"/>
    <w:rsid w:val="008F5FCC"/>
    <w:rsid w:val="008F7D1B"/>
    <w:rsid w:val="009039FF"/>
    <w:rsid w:val="009059CF"/>
    <w:rsid w:val="00905BB1"/>
    <w:rsid w:val="00906432"/>
    <w:rsid w:val="00910A8C"/>
    <w:rsid w:val="009128EE"/>
    <w:rsid w:val="00917F8A"/>
    <w:rsid w:val="009301FC"/>
    <w:rsid w:val="00933FBF"/>
    <w:rsid w:val="0093700D"/>
    <w:rsid w:val="00945AD8"/>
    <w:rsid w:val="00954F9B"/>
    <w:rsid w:val="009605DB"/>
    <w:rsid w:val="00962307"/>
    <w:rsid w:val="009643BE"/>
    <w:rsid w:val="009655E3"/>
    <w:rsid w:val="00966335"/>
    <w:rsid w:val="00980317"/>
    <w:rsid w:val="0098294A"/>
    <w:rsid w:val="00983A85"/>
    <w:rsid w:val="00987D82"/>
    <w:rsid w:val="00992F33"/>
    <w:rsid w:val="009B0214"/>
    <w:rsid w:val="009B3527"/>
    <w:rsid w:val="009B6AE4"/>
    <w:rsid w:val="009C6BB4"/>
    <w:rsid w:val="009C7C16"/>
    <w:rsid w:val="009D28AF"/>
    <w:rsid w:val="009E1E6B"/>
    <w:rsid w:val="009E1F38"/>
    <w:rsid w:val="009E2172"/>
    <w:rsid w:val="009E35D0"/>
    <w:rsid w:val="009F2DF5"/>
    <w:rsid w:val="00A015F3"/>
    <w:rsid w:val="00A073F6"/>
    <w:rsid w:val="00A07B0B"/>
    <w:rsid w:val="00A1522E"/>
    <w:rsid w:val="00A24697"/>
    <w:rsid w:val="00A3040E"/>
    <w:rsid w:val="00A31E7A"/>
    <w:rsid w:val="00A33D58"/>
    <w:rsid w:val="00A34C70"/>
    <w:rsid w:val="00A34EB4"/>
    <w:rsid w:val="00A350E7"/>
    <w:rsid w:val="00A3601B"/>
    <w:rsid w:val="00A46CA6"/>
    <w:rsid w:val="00A5016E"/>
    <w:rsid w:val="00A737AD"/>
    <w:rsid w:val="00A76215"/>
    <w:rsid w:val="00A7713B"/>
    <w:rsid w:val="00A774A6"/>
    <w:rsid w:val="00A774CF"/>
    <w:rsid w:val="00A81D1A"/>
    <w:rsid w:val="00A82147"/>
    <w:rsid w:val="00A920CB"/>
    <w:rsid w:val="00A92899"/>
    <w:rsid w:val="00A94BE7"/>
    <w:rsid w:val="00A94D25"/>
    <w:rsid w:val="00A95520"/>
    <w:rsid w:val="00AA1661"/>
    <w:rsid w:val="00AA462B"/>
    <w:rsid w:val="00AA569C"/>
    <w:rsid w:val="00AA6B2F"/>
    <w:rsid w:val="00AB3E33"/>
    <w:rsid w:val="00AC25A6"/>
    <w:rsid w:val="00AC34F0"/>
    <w:rsid w:val="00AD0B65"/>
    <w:rsid w:val="00AD5700"/>
    <w:rsid w:val="00AD573E"/>
    <w:rsid w:val="00AD5D8E"/>
    <w:rsid w:val="00AE7B81"/>
    <w:rsid w:val="00B02BAE"/>
    <w:rsid w:val="00B04FB4"/>
    <w:rsid w:val="00B06A73"/>
    <w:rsid w:val="00B17521"/>
    <w:rsid w:val="00B208C1"/>
    <w:rsid w:val="00B215EA"/>
    <w:rsid w:val="00B31396"/>
    <w:rsid w:val="00B33125"/>
    <w:rsid w:val="00B405E4"/>
    <w:rsid w:val="00B418AF"/>
    <w:rsid w:val="00B440B9"/>
    <w:rsid w:val="00B454F2"/>
    <w:rsid w:val="00B46844"/>
    <w:rsid w:val="00B475D5"/>
    <w:rsid w:val="00B5053E"/>
    <w:rsid w:val="00B512D9"/>
    <w:rsid w:val="00B519D4"/>
    <w:rsid w:val="00B549C1"/>
    <w:rsid w:val="00B54BBD"/>
    <w:rsid w:val="00B56ECF"/>
    <w:rsid w:val="00B770E8"/>
    <w:rsid w:val="00B80D08"/>
    <w:rsid w:val="00B81649"/>
    <w:rsid w:val="00B943E4"/>
    <w:rsid w:val="00BA0649"/>
    <w:rsid w:val="00BA35F1"/>
    <w:rsid w:val="00BB07EF"/>
    <w:rsid w:val="00BB1F5F"/>
    <w:rsid w:val="00BC6301"/>
    <w:rsid w:val="00BE027A"/>
    <w:rsid w:val="00BE07F9"/>
    <w:rsid w:val="00BE167F"/>
    <w:rsid w:val="00BE16C8"/>
    <w:rsid w:val="00BF29BD"/>
    <w:rsid w:val="00C027A0"/>
    <w:rsid w:val="00C0425D"/>
    <w:rsid w:val="00C05425"/>
    <w:rsid w:val="00C0547F"/>
    <w:rsid w:val="00C05913"/>
    <w:rsid w:val="00C06399"/>
    <w:rsid w:val="00C07B77"/>
    <w:rsid w:val="00C1228A"/>
    <w:rsid w:val="00C14452"/>
    <w:rsid w:val="00C24F12"/>
    <w:rsid w:val="00C33DE9"/>
    <w:rsid w:val="00C41DCB"/>
    <w:rsid w:val="00C45CE3"/>
    <w:rsid w:val="00C47B94"/>
    <w:rsid w:val="00C519CD"/>
    <w:rsid w:val="00C556C2"/>
    <w:rsid w:val="00C66D42"/>
    <w:rsid w:val="00C70697"/>
    <w:rsid w:val="00C71749"/>
    <w:rsid w:val="00C7276B"/>
    <w:rsid w:val="00C845FE"/>
    <w:rsid w:val="00C97509"/>
    <w:rsid w:val="00CA63CE"/>
    <w:rsid w:val="00CA6AE5"/>
    <w:rsid w:val="00CA77BD"/>
    <w:rsid w:val="00CB1715"/>
    <w:rsid w:val="00CB5722"/>
    <w:rsid w:val="00CC4FB6"/>
    <w:rsid w:val="00CD0AF1"/>
    <w:rsid w:val="00CD1EA6"/>
    <w:rsid w:val="00CE07B3"/>
    <w:rsid w:val="00CF36D4"/>
    <w:rsid w:val="00CF4166"/>
    <w:rsid w:val="00CF6151"/>
    <w:rsid w:val="00CF7D67"/>
    <w:rsid w:val="00D03C45"/>
    <w:rsid w:val="00D03EBF"/>
    <w:rsid w:val="00D04A96"/>
    <w:rsid w:val="00D06A1A"/>
    <w:rsid w:val="00D131A0"/>
    <w:rsid w:val="00D21712"/>
    <w:rsid w:val="00D2204B"/>
    <w:rsid w:val="00D2535F"/>
    <w:rsid w:val="00D257AC"/>
    <w:rsid w:val="00D32452"/>
    <w:rsid w:val="00D3363D"/>
    <w:rsid w:val="00D552B8"/>
    <w:rsid w:val="00D63D32"/>
    <w:rsid w:val="00D65B23"/>
    <w:rsid w:val="00D74F41"/>
    <w:rsid w:val="00D76422"/>
    <w:rsid w:val="00D823A1"/>
    <w:rsid w:val="00D8726B"/>
    <w:rsid w:val="00D90D6A"/>
    <w:rsid w:val="00D9132F"/>
    <w:rsid w:val="00D91F27"/>
    <w:rsid w:val="00D924EA"/>
    <w:rsid w:val="00DA4DDF"/>
    <w:rsid w:val="00DA64B4"/>
    <w:rsid w:val="00DA706B"/>
    <w:rsid w:val="00DB02C0"/>
    <w:rsid w:val="00DB05C7"/>
    <w:rsid w:val="00DB177D"/>
    <w:rsid w:val="00DB2562"/>
    <w:rsid w:val="00DB3747"/>
    <w:rsid w:val="00DB5CE4"/>
    <w:rsid w:val="00DC7B54"/>
    <w:rsid w:val="00DD6718"/>
    <w:rsid w:val="00DD743C"/>
    <w:rsid w:val="00DE0427"/>
    <w:rsid w:val="00DE33D0"/>
    <w:rsid w:val="00DE3CEC"/>
    <w:rsid w:val="00DE5C82"/>
    <w:rsid w:val="00DE620E"/>
    <w:rsid w:val="00DF1398"/>
    <w:rsid w:val="00DF2770"/>
    <w:rsid w:val="00DF3141"/>
    <w:rsid w:val="00E04F4B"/>
    <w:rsid w:val="00E054BA"/>
    <w:rsid w:val="00E0624C"/>
    <w:rsid w:val="00E104DA"/>
    <w:rsid w:val="00E10A85"/>
    <w:rsid w:val="00E116F6"/>
    <w:rsid w:val="00E119CC"/>
    <w:rsid w:val="00E11FDB"/>
    <w:rsid w:val="00E21D19"/>
    <w:rsid w:val="00E3103F"/>
    <w:rsid w:val="00E35D8D"/>
    <w:rsid w:val="00E373D1"/>
    <w:rsid w:val="00E403CC"/>
    <w:rsid w:val="00E43BC7"/>
    <w:rsid w:val="00E474AA"/>
    <w:rsid w:val="00E5093E"/>
    <w:rsid w:val="00E50AEE"/>
    <w:rsid w:val="00E51985"/>
    <w:rsid w:val="00E620DE"/>
    <w:rsid w:val="00E62B33"/>
    <w:rsid w:val="00E6664A"/>
    <w:rsid w:val="00E729CF"/>
    <w:rsid w:val="00E74B29"/>
    <w:rsid w:val="00E75DC8"/>
    <w:rsid w:val="00E8005A"/>
    <w:rsid w:val="00E940D1"/>
    <w:rsid w:val="00EA1CA3"/>
    <w:rsid w:val="00EA3536"/>
    <w:rsid w:val="00EA544D"/>
    <w:rsid w:val="00EB36FF"/>
    <w:rsid w:val="00EB430B"/>
    <w:rsid w:val="00EB6836"/>
    <w:rsid w:val="00EB7BFB"/>
    <w:rsid w:val="00EC1D7B"/>
    <w:rsid w:val="00EC530E"/>
    <w:rsid w:val="00EC6015"/>
    <w:rsid w:val="00ED0759"/>
    <w:rsid w:val="00ED63A7"/>
    <w:rsid w:val="00EE3757"/>
    <w:rsid w:val="00EE4F40"/>
    <w:rsid w:val="00EE613B"/>
    <w:rsid w:val="00EE7F2F"/>
    <w:rsid w:val="00EF62DD"/>
    <w:rsid w:val="00F01255"/>
    <w:rsid w:val="00F056D9"/>
    <w:rsid w:val="00F05C2E"/>
    <w:rsid w:val="00F07F44"/>
    <w:rsid w:val="00F20E33"/>
    <w:rsid w:val="00F215FB"/>
    <w:rsid w:val="00F24D3F"/>
    <w:rsid w:val="00F27840"/>
    <w:rsid w:val="00F31381"/>
    <w:rsid w:val="00F37B31"/>
    <w:rsid w:val="00F41650"/>
    <w:rsid w:val="00F42820"/>
    <w:rsid w:val="00F42FD4"/>
    <w:rsid w:val="00F51A29"/>
    <w:rsid w:val="00F52CC6"/>
    <w:rsid w:val="00F60079"/>
    <w:rsid w:val="00F6078B"/>
    <w:rsid w:val="00F61CD2"/>
    <w:rsid w:val="00F62F89"/>
    <w:rsid w:val="00F63FAC"/>
    <w:rsid w:val="00F72C3D"/>
    <w:rsid w:val="00F7667C"/>
    <w:rsid w:val="00F778BE"/>
    <w:rsid w:val="00F82E26"/>
    <w:rsid w:val="00F876EA"/>
    <w:rsid w:val="00F90E3E"/>
    <w:rsid w:val="00F90E9F"/>
    <w:rsid w:val="00F9143F"/>
    <w:rsid w:val="00F940C1"/>
    <w:rsid w:val="00F94FAA"/>
    <w:rsid w:val="00F96992"/>
    <w:rsid w:val="00F96C28"/>
    <w:rsid w:val="00F979D8"/>
    <w:rsid w:val="00FA3701"/>
    <w:rsid w:val="00FA5A9D"/>
    <w:rsid w:val="00FA7680"/>
    <w:rsid w:val="00FB1626"/>
    <w:rsid w:val="00FB2BCB"/>
    <w:rsid w:val="00FB31AC"/>
    <w:rsid w:val="00FB4288"/>
    <w:rsid w:val="00FB612A"/>
    <w:rsid w:val="00FC2F1E"/>
    <w:rsid w:val="00FD35EE"/>
    <w:rsid w:val="00FD7A00"/>
    <w:rsid w:val="00FE232D"/>
    <w:rsid w:val="00FE6645"/>
    <w:rsid w:val="00FF3A62"/>
    <w:rsid w:val="00FF40FB"/>
    <w:rsid w:val="00FF4221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3745"/>
  <w15:chartTrackingRefBased/>
  <w15:docId w15:val="{ECCB7CAE-BD62-436F-AB4E-F1A234D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331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331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331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331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331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331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331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331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331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331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331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331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3312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3312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3312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3312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3312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3312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331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33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331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33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331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3312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3312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3312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331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3312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3312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rsid w:val="0077620A"/>
    <w:rPr>
      <w:color w:val="0000FF"/>
      <w:u w:val="single"/>
    </w:rPr>
  </w:style>
  <w:style w:type="paragraph" w:styleId="Revisione">
    <w:name w:val="Revision"/>
    <w:hidden/>
    <w:uiPriority w:val="99"/>
    <w:semiHidden/>
    <w:rsid w:val="0077214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71E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1E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1EC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1E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1EC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7C9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3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DE33D0"/>
    <w:rPr>
      <w:b/>
      <w:bCs/>
    </w:rPr>
  </w:style>
  <w:style w:type="character" w:styleId="Enfasicorsivo">
    <w:name w:val="Emphasis"/>
    <w:basedOn w:val="Carpredefinitoparagrafo"/>
    <w:uiPriority w:val="20"/>
    <w:qFormat/>
    <w:rsid w:val="00DE33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38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4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37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3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1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paritalia@community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spar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ornatefai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Bonaldi</dc:creator>
  <cp:keywords/>
  <dc:description/>
  <cp:lastModifiedBy>Francesca Decaroli</cp:lastModifiedBy>
  <cp:revision>138</cp:revision>
  <cp:lastPrinted>2024-06-05T09:40:00Z</cp:lastPrinted>
  <dcterms:created xsi:type="dcterms:W3CDTF">2024-08-27T08:04:00Z</dcterms:created>
  <dcterms:modified xsi:type="dcterms:W3CDTF">2024-09-30T11:49:00Z</dcterms:modified>
</cp:coreProperties>
</file>